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B4" w:rsidRPr="00F032EB" w:rsidRDefault="000642B4" w:rsidP="000642B4">
      <w:pPr>
        <w:spacing w:line="240" w:lineRule="auto"/>
        <w:rPr>
          <w:b/>
        </w:rPr>
      </w:pPr>
      <w:r w:rsidRPr="00F032EB">
        <w:rPr>
          <w:b/>
        </w:rPr>
        <w:t>Fi</w:t>
      </w:r>
      <w:r w:rsidR="00FF304A">
        <w:rPr>
          <w:b/>
        </w:rPr>
        <w:t>lozofija odgoja – ispitni rok 1. srpnja</w:t>
      </w:r>
      <w:r w:rsidRPr="00F032EB">
        <w:rPr>
          <w:b/>
        </w:rPr>
        <w:t xml:space="preserve"> 2014.</w:t>
      </w:r>
    </w:p>
    <w:p w:rsidR="000642B4" w:rsidRDefault="000642B4" w:rsidP="000642B4">
      <w:pPr>
        <w:spacing w:line="240" w:lineRule="auto"/>
        <w:rPr>
          <w:b/>
        </w:rPr>
      </w:pPr>
      <w:r w:rsidRPr="00F032EB">
        <w:rPr>
          <w:b/>
        </w:rPr>
        <w:t>PO 1 – izvanredni studij</w:t>
      </w:r>
    </w:p>
    <w:p w:rsidR="00FF304A" w:rsidRDefault="00FF304A" w:rsidP="00FF304A">
      <w:pPr>
        <w:pStyle w:val="Bezproreda"/>
      </w:pPr>
      <w:r>
        <w:t>Ba</w:t>
      </w:r>
      <w:r w:rsidR="00CF17EC">
        <w:t>j</w:t>
      </w:r>
      <w:r>
        <w:t>štrakaj Ena – 3</w:t>
      </w:r>
      <w:r w:rsidR="00CF17EC">
        <w:t>,3 (3)</w:t>
      </w:r>
    </w:p>
    <w:p w:rsidR="00FF304A" w:rsidRDefault="00FF304A" w:rsidP="00FF304A">
      <w:pPr>
        <w:pStyle w:val="Bezproreda"/>
      </w:pPr>
      <w:r>
        <w:t>Bisaku Ivana – 3</w:t>
      </w:r>
      <w:r w:rsidR="000D1458">
        <w:t>,3 (3)</w:t>
      </w:r>
      <w:r>
        <w:t xml:space="preserve"> </w:t>
      </w:r>
    </w:p>
    <w:p w:rsidR="00FF304A" w:rsidRDefault="00FF304A" w:rsidP="00FF304A">
      <w:pPr>
        <w:pStyle w:val="Bezproreda"/>
      </w:pPr>
      <w:r>
        <w:t>Bolković Silvija – 5</w:t>
      </w:r>
      <w:r w:rsidR="00CF17EC">
        <w:t>,5 (5)</w:t>
      </w:r>
      <w:r>
        <w:t xml:space="preserve"> </w:t>
      </w:r>
    </w:p>
    <w:p w:rsidR="00FF304A" w:rsidRDefault="00FF304A" w:rsidP="00FF304A">
      <w:pPr>
        <w:pStyle w:val="Bezproreda"/>
      </w:pPr>
      <w:r>
        <w:t>Draščić Lana – 2</w:t>
      </w:r>
      <w:r w:rsidR="006B5560">
        <w:t>,5 (3)</w:t>
      </w:r>
      <w:r>
        <w:t xml:space="preserve"> </w:t>
      </w:r>
    </w:p>
    <w:p w:rsidR="00FF304A" w:rsidRDefault="00FF304A" w:rsidP="00FF304A">
      <w:pPr>
        <w:pStyle w:val="Bezproreda"/>
      </w:pPr>
      <w:r>
        <w:t>Glavaš Ivana –</w:t>
      </w:r>
      <w:r w:rsidR="00CF17EC">
        <w:t xml:space="preserve"> 4,4 (4)</w:t>
      </w:r>
    </w:p>
    <w:p w:rsidR="00FF304A" w:rsidRDefault="00FF304A" w:rsidP="00FF304A">
      <w:pPr>
        <w:pStyle w:val="Bezproreda"/>
      </w:pPr>
      <w:r>
        <w:t>Gotić Lorena –</w:t>
      </w:r>
      <w:r w:rsidR="00CF17EC">
        <w:t xml:space="preserve"> 2,2 (2)</w:t>
      </w:r>
    </w:p>
    <w:p w:rsidR="00FF304A" w:rsidRDefault="00FF304A" w:rsidP="00FF304A">
      <w:pPr>
        <w:pStyle w:val="Bezproreda"/>
      </w:pPr>
      <w:r>
        <w:t>Klarić Veronika – 3</w:t>
      </w:r>
      <w:r w:rsidR="006B5560">
        <w:t>,4 (3)</w:t>
      </w:r>
      <w:r>
        <w:t xml:space="preserve"> </w:t>
      </w:r>
    </w:p>
    <w:p w:rsidR="00FF304A" w:rsidRDefault="00FF304A" w:rsidP="00FF304A">
      <w:pPr>
        <w:pStyle w:val="Bezproreda"/>
      </w:pPr>
      <w:r>
        <w:t xml:space="preserve">Mrazovac Nina </w:t>
      </w:r>
      <w:r w:rsidR="00CF17EC">
        <w:t>–</w:t>
      </w:r>
      <w:r>
        <w:t xml:space="preserve"> 2</w:t>
      </w:r>
      <w:r w:rsidR="00CF17EC">
        <w:t>,3 (2)</w:t>
      </w:r>
    </w:p>
    <w:p w:rsidR="00165C53" w:rsidRDefault="00165C53" w:rsidP="00165C53">
      <w:pPr>
        <w:pStyle w:val="Bezproreda"/>
      </w:pPr>
      <w:r>
        <w:t xml:space="preserve">Pavelić Ana – 2,5 (3) </w:t>
      </w:r>
    </w:p>
    <w:p w:rsidR="00FF304A" w:rsidRDefault="00FF304A" w:rsidP="00FF304A">
      <w:pPr>
        <w:pStyle w:val="Bezproreda"/>
      </w:pPr>
      <w:r>
        <w:t>Picco Valentina – 5</w:t>
      </w:r>
      <w:r w:rsidR="00CF17EC">
        <w:t>,5 (5)</w:t>
      </w:r>
      <w:r>
        <w:t xml:space="preserve"> </w:t>
      </w:r>
    </w:p>
    <w:p w:rsidR="00FF304A" w:rsidRDefault="00FF304A" w:rsidP="00FF304A">
      <w:pPr>
        <w:pStyle w:val="Bezproreda"/>
      </w:pPr>
      <w:r>
        <w:t>Puž Natali –</w:t>
      </w:r>
      <w:r w:rsidR="0001050E">
        <w:t xml:space="preserve"> 4,3 (4)</w:t>
      </w:r>
    </w:p>
    <w:p w:rsidR="00FF304A" w:rsidRDefault="00FF304A" w:rsidP="00FF304A">
      <w:pPr>
        <w:pStyle w:val="Bezproreda"/>
      </w:pPr>
      <w:r>
        <w:t>Terzić Karla – 5</w:t>
      </w:r>
      <w:r w:rsidR="00CF17EC">
        <w:t>,5 (5)</w:t>
      </w:r>
      <w:r>
        <w:t xml:space="preserve"> </w:t>
      </w:r>
    </w:p>
    <w:p w:rsidR="00FF304A" w:rsidRDefault="00FF304A" w:rsidP="00FF304A">
      <w:pPr>
        <w:pStyle w:val="Bezproreda"/>
      </w:pPr>
      <w:r>
        <w:t>Urh Lana – 4</w:t>
      </w:r>
      <w:r w:rsidR="00A70D7F">
        <w:t>,4</w:t>
      </w:r>
      <w:r w:rsidR="00203037">
        <w:t xml:space="preserve"> (4)</w:t>
      </w:r>
      <w:r>
        <w:t xml:space="preserve"> </w:t>
      </w:r>
    </w:p>
    <w:p w:rsidR="00FF304A" w:rsidRDefault="00CF17EC" w:rsidP="00970F98">
      <w:pPr>
        <w:pStyle w:val="Bezproreda"/>
      </w:pPr>
      <w:r>
        <w:t>Žulić Đe</w:t>
      </w:r>
      <w:r w:rsidR="00FF304A">
        <w:t>ni – 4</w:t>
      </w:r>
      <w:r>
        <w:t>,4 (4)</w:t>
      </w:r>
    </w:p>
    <w:p w:rsidR="00970F98" w:rsidRPr="00FF304A" w:rsidRDefault="00970F98" w:rsidP="00970F98">
      <w:pPr>
        <w:pStyle w:val="Bezproreda"/>
      </w:pPr>
    </w:p>
    <w:p w:rsidR="00CF17EC" w:rsidRDefault="00CF17EC" w:rsidP="00CF17EC">
      <w:pPr>
        <w:pStyle w:val="Bezproreda"/>
      </w:pPr>
      <w:r>
        <w:t>Samo esejski zadat</w:t>
      </w:r>
      <w:r w:rsidR="00165C53">
        <w:t>ak u ovom ispitnom roku položile</w:t>
      </w:r>
      <w:r>
        <w:t xml:space="preserve"> su: </w:t>
      </w:r>
    </w:p>
    <w:p w:rsidR="00BE6E34" w:rsidRDefault="00CF17EC" w:rsidP="00CF17EC">
      <w:pPr>
        <w:spacing w:line="240" w:lineRule="auto"/>
      </w:pPr>
      <w:r>
        <w:t xml:space="preserve">Đujić Stela (3), </w:t>
      </w:r>
      <w:r w:rsidR="00CD5056">
        <w:t xml:space="preserve">Puškarić Martina (2), </w:t>
      </w:r>
      <w:r>
        <w:t xml:space="preserve">Tomac Amanda </w:t>
      </w:r>
      <w:r w:rsidR="00CD5056">
        <w:t>(2)</w:t>
      </w:r>
    </w:p>
    <w:p w:rsidR="00CF17EC" w:rsidRPr="00F032EB" w:rsidRDefault="00CF17EC" w:rsidP="00CF17EC">
      <w:pPr>
        <w:spacing w:line="240" w:lineRule="auto"/>
        <w:jc w:val="both"/>
        <w:rPr>
          <w:b/>
        </w:rPr>
      </w:pPr>
      <w:r w:rsidRPr="00F032EB">
        <w:rPr>
          <w:b/>
        </w:rPr>
        <w:t>Napomene</w:t>
      </w:r>
      <w:r>
        <w:rPr>
          <w:b/>
        </w:rPr>
        <w:t xml:space="preserve"> za PO1 – izvanredni studij</w:t>
      </w:r>
      <w:r w:rsidRPr="00F032EB">
        <w:rPr>
          <w:b/>
        </w:rPr>
        <w:t xml:space="preserve">: </w:t>
      </w:r>
    </w:p>
    <w:p w:rsidR="0000102C" w:rsidRDefault="00CF17EC" w:rsidP="00CF17EC">
      <w:pPr>
        <w:spacing w:line="240" w:lineRule="auto"/>
        <w:jc w:val="both"/>
      </w:pPr>
      <w:r>
        <w:t>Prva ocjena odnosi se na test, druga na esej, a u zagradi je konačna ocjena.</w:t>
      </w:r>
      <w:r w:rsidRPr="00BF0167">
        <w:t xml:space="preserve"> </w:t>
      </w:r>
      <w:r>
        <w:t xml:space="preserve">Kako test čini 2/3 ukupne ocjene, a esej 1/3, za višu ocjenu od one ostvarene testom potrebno je ostvariti dva boda višu ocjenu iz eseja (također, ocjenu iz testa može sniziti jedino dva boda niža ocjena iz eseja). </w:t>
      </w:r>
      <w:r w:rsidR="006B5560">
        <w:t xml:space="preserve">Ocjena iz eseja može povisiti ocjenu najviše za jedan bod. </w:t>
      </w:r>
      <w:r>
        <w:t xml:space="preserve">Pozitivna ocjena i iz testa i iz eseja uvjet je prolaza na ispitu. </w:t>
      </w:r>
    </w:p>
    <w:p w:rsidR="009B1673" w:rsidRDefault="009B1673" w:rsidP="00CF17EC">
      <w:pPr>
        <w:spacing w:line="240" w:lineRule="auto"/>
        <w:jc w:val="both"/>
      </w:pPr>
    </w:p>
    <w:p w:rsidR="002807B2" w:rsidRDefault="00970F98" w:rsidP="002807B2">
      <w:pPr>
        <w:spacing w:line="240" w:lineRule="auto"/>
        <w:jc w:val="both"/>
      </w:pPr>
      <w:r w:rsidRPr="000A6BB8">
        <w:rPr>
          <w:b/>
        </w:rPr>
        <w:t>RN1</w:t>
      </w:r>
      <w:r w:rsidR="002807B2">
        <w:tab/>
      </w:r>
    </w:p>
    <w:tbl>
      <w:tblPr>
        <w:tblStyle w:val="Reetkatablice"/>
        <w:tblW w:w="0" w:type="auto"/>
        <w:tblInd w:w="-318" w:type="dxa"/>
        <w:tblLayout w:type="fixed"/>
        <w:tblLook w:val="04A0"/>
      </w:tblPr>
      <w:tblGrid>
        <w:gridCol w:w="1844"/>
        <w:gridCol w:w="1276"/>
        <w:gridCol w:w="992"/>
        <w:gridCol w:w="850"/>
        <w:gridCol w:w="567"/>
        <w:gridCol w:w="1560"/>
        <w:gridCol w:w="992"/>
        <w:gridCol w:w="1525"/>
      </w:tblGrid>
      <w:tr w:rsidR="002807B2" w:rsidRPr="00DD14FD" w:rsidTr="002807B2">
        <w:trPr>
          <w:trHeight w:val="70"/>
        </w:trPr>
        <w:tc>
          <w:tcPr>
            <w:tcW w:w="1844" w:type="dxa"/>
          </w:tcPr>
          <w:p w:rsidR="002807B2" w:rsidRPr="00DD14FD" w:rsidRDefault="002807B2" w:rsidP="0045395C">
            <w:pPr>
              <w:jc w:val="center"/>
              <w:rPr>
                <w:sz w:val="20"/>
                <w:szCs w:val="20"/>
              </w:rPr>
            </w:pPr>
            <w:r w:rsidRPr="00DD14FD">
              <w:rPr>
                <w:sz w:val="20"/>
                <w:szCs w:val="20"/>
              </w:rPr>
              <w:t>Prezime, ime</w:t>
            </w:r>
          </w:p>
        </w:tc>
        <w:tc>
          <w:tcPr>
            <w:tcW w:w="1276" w:type="dxa"/>
          </w:tcPr>
          <w:p w:rsidR="002807B2" w:rsidRPr="00DD14FD" w:rsidRDefault="002807B2" w:rsidP="0045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Završni ispit</w:t>
            </w:r>
          </w:p>
        </w:tc>
        <w:tc>
          <w:tcPr>
            <w:tcW w:w="992" w:type="dxa"/>
          </w:tcPr>
          <w:p w:rsidR="002807B2" w:rsidRPr="00DD14FD" w:rsidRDefault="002807B2" w:rsidP="0045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kolokvij</w:t>
            </w:r>
          </w:p>
        </w:tc>
        <w:tc>
          <w:tcPr>
            <w:tcW w:w="850" w:type="dxa"/>
          </w:tcPr>
          <w:p w:rsidR="002807B2" w:rsidRPr="00DD14FD" w:rsidRDefault="002807B2" w:rsidP="0045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</w:t>
            </w:r>
          </w:p>
        </w:tc>
        <w:tc>
          <w:tcPr>
            <w:tcW w:w="567" w:type="dxa"/>
          </w:tcPr>
          <w:p w:rsidR="002807B2" w:rsidRPr="00DD14FD" w:rsidRDefault="002807B2" w:rsidP="0045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esej</w:t>
            </w:r>
          </w:p>
        </w:tc>
        <w:tc>
          <w:tcPr>
            <w:tcW w:w="1560" w:type="dxa"/>
          </w:tcPr>
          <w:p w:rsidR="002807B2" w:rsidRPr="00DD14FD" w:rsidRDefault="002807B2" w:rsidP="0045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sudj. u nastavi</w:t>
            </w:r>
          </w:p>
        </w:tc>
        <w:tc>
          <w:tcPr>
            <w:tcW w:w="992" w:type="dxa"/>
          </w:tcPr>
          <w:p w:rsidR="002807B2" w:rsidRPr="00DD14FD" w:rsidRDefault="002807B2" w:rsidP="0045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  <w:tc>
          <w:tcPr>
            <w:tcW w:w="1525" w:type="dxa"/>
          </w:tcPr>
          <w:p w:rsidR="002807B2" w:rsidRPr="00DD14FD" w:rsidRDefault="002807B2" w:rsidP="0045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konačna ocjena</w:t>
            </w:r>
          </w:p>
        </w:tc>
      </w:tr>
      <w:tr w:rsidR="002807B2" w:rsidRPr="00DD14FD" w:rsidTr="002807B2">
        <w:tc>
          <w:tcPr>
            <w:tcW w:w="1844" w:type="dxa"/>
          </w:tcPr>
          <w:p w:rsidR="002807B2" w:rsidRPr="00DD14FD" w:rsidRDefault="002807B2" w:rsidP="0045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Mokorić Valentina</w:t>
            </w:r>
          </w:p>
        </w:tc>
        <w:tc>
          <w:tcPr>
            <w:tcW w:w="1276" w:type="dxa"/>
          </w:tcPr>
          <w:p w:rsidR="002807B2" w:rsidRPr="00DD14FD" w:rsidRDefault="002807B2" w:rsidP="0045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07B2" w:rsidRPr="00DD14FD" w:rsidRDefault="002807B2" w:rsidP="0045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807B2" w:rsidRPr="00DD14FD" w:rsidRDefault="002807B2" w:rsidP="0045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807B2" w:rsidRPr="00DD14FD" w:rsidRDefault="002807B2" w:rsidP="0045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2807B2" w:rsidRPr="00DD14FD" w:rsidRDefault="002807B2" w:rsidP="0045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807B2" w:rsidRPr="00DD14FD" w:rsidRDefault="002807B2" w:rsidP="0045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25" w:type="dxa"/>
          </w:tcPr>
          <w:p w:rsidR="002807B2" w:rsidRPr="00DD14FD" w:rsidRDefault="002807B2" w:rsidP="0045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0102C" w:rsidRDefault="0000102C" w:rsidP="002807B2">
      <w:pPr>
        <w:spacing w:line="240" w:lineRule="auto"/>
        <w:jc w:val="both"/>
        <w:rPr>
          <w:b/>
        </w:rPr>
      </w:pPr>
    </w:p>
    <w:p w:rsidR="00BE6E34" w:rsidRDefault="00BE6E34" w:rsidP="00BE6E34">
      <w:pPr>
        <w:jc w:val="both"/>
      </w:pPr>
      <w:r>
        <w:rPr>
          <w:b/>
        </w:rPr>
        <w:t>Upis</w:t>
      </w:r>
      <w:r w:rsidRPr="001E1C68">
        <w:rPr>
          <w:b/>
        </w:rPr>
        <w:t xml:space="preserve"> ocjene</w:t>
      </w:r>
      <w:r>
        <w:t xml:space="preserve"> i uvid u test mogući su prvo u </w:t>
      </w:r>
      <w:r w:rsidR="0000102C">
        <w:t>ponedjeljak, 7. srpnja</w:t>
      </w:r>
      <w:r>
        <w:t xml:space="preserve"> u 16.30</w:t>
      </w:r>
      <w:r w:rsidR="0000102C">
        <w:t>.</w:t>
      </w:r>
    </w:p>
    <w:p w:rsidR="00BE6E34" w:rsidRDefault="00BE6E34" w:rsidP="00BE6E34">
      <w:pPr>
        <w:spacing w:line="240" w:lineRule="auto"/>
        <w:jc w:val="both"/>
      </w:pPr>
      <w:r>
        <w:t xml:space="preserve">                                                                                doc. dr. sc. Alen Tafra</w:t>
      </w:r>
    </w:p>
    <w:p w:rsidR="00BE6E34" w:rsidRDefault="00BE6E34" w:rsidP="002807B2">
      <w:pPr>
        <w:spacing w:line="240" w:lineRule="auto"/>
        <w:jc w:val="both"/>
        <w:rPr>
          <w:b/>
        </w:rPr>
      </w:pPr>
    </w:p>
    <w:sectPr w:rsidR="00BE6E34" w:rsidSect="0018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42B4"/>
    <w:rsid w:val="0000102C"/>
    <w:rsid w:val="0001050E"/>
    <w:rsid w:val="000642B4"/>
    <w:rsid w:val="00091D3B"/>
    <w:rsid w:val="000D1458"/>
    <w:rsid w:val="00165C53"/>
    <w:rsid w:val="00185425"/>
    <w:rsid w:val="00203037"/>
    <w:rsid w:val="002807B2"/>
    <w:rsid w:val="00675A2C"/>
    <w:rsid w:val="006B5560"/>
    <w:rsid w:val="006C0145"/>
    <w:rsid w:val="00970F98"/>
    <w:rsid w:val="009B1673"/>
    <w:rsid w:val="00A70D7F"/>
    <w:rsid w:val="00BE6E34"/>
    <w:rsid w:val="00C452A1"/>
    <w:rsid w:val="00CB2410"/>
    <w:rsid w:val="00CD5056"/>
    <w:rsid w:val="00CF17EC"/>
    <w:rsid w:val="00FF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2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304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80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21</cp:revision>
  <dcterms:created xsi:type="dcterms:W3CDTF">2014-07-04T08:42:00Z</dcterms:created>
  <dcterms:modified xsi:type="dcterms:W3CDTF">2014-07-04T09:42:00Z</dcterms:modified>
</cp:coreProperties>
</file>